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Director as Auteur: Gus Van Sant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Filmmaker’s Signature: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become significant in a film is not the “what”, but the “how”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Literary and visual signifiers: the real meaning is conveyed through effective use of the medium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director’s “vision” can be compromised; unity in theme and style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Structuralist Theory: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Louis Althusser defined ideology as: “The representation of individuals to their real conditions of existence”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Going beyond a plot to uncover key oppositions that are constructed in order to analyze the key foundational myths of a culture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Gus van Sant (1952 -     ):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considered one of the most daring, innovative and accomplished contemporary independent filmmakers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Career with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three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distinctive parts: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“Trilogy of the Streets”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Mala Noche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Drugstore Cowboy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My Own Private Idaho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His rise to success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Low budget and semi-independent films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Centered on innocent down and outer of the Pacific Northwest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Characters retain self-awareness and dignity about their situations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Films deal with overtly gay characters or have a queer sensibility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Studio Era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Even Cowgirls Get the Blues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To Die For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Good Will Hunting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Psycho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Finding Forrester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Backed by Hollywood studios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More or less successful 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Studio interference tone down queerness of the themes and characters (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Cowgirls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To Die For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Psycho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mainstream sensibility (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Hunting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Forrester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Return to the Independence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Gerry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Elephant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 Last Days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Paranoid Park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Milk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Films more daring both at the narrative and formal level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Queer sensibility more upfront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Queer not at the sexual level but at the counter-ideological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Fluid performances of gender and identity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